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/>
      </w:tblPr>
      <w:tblGrid>
        <w:gridCol w:w="4999"/>
        <w:gridCol w:w="310"/>
        <w:gridCol w:w="4966"/>
      </w:tblGrid>
      <w:tr w:rsidR="009E658A" w:rsidRPr="009E658A" w:rsidTr="009E658A">
        <w:trPr>
          <w:tblCellSpacing w:w="0" w:type="dxa"/>
        </w:trPr>
        <w:tc>
          <w:tcPr>
            <w:tcW w:w="459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АДМИНИСТРАЦИЯ</w:t>
            </w:r>
          </w:p>
          <w:p w:rsidR="009E658A" w:rsidRPr="009E658A" w:rsidRDefault="009E658A" w:rsidP="009E658A">
            <w:pPr>
              <w:spacing w:after="0" w:line="336" w:lineRule="atLeast"/>
              <w:textAlignment w:val="top"/>
              <w:outlineLvl w:val="1"/>
              <w:rPr>
                <w:rFonts w:ascii="Georgia" w:eastAsia="Times New Roman" w:hAnsi="Georgia" w:cs="Helvetica"/>
                <w:color w:val="604848"/>
                <w:sz w:val="29"/>
                <w:szCs w:val="29"/>
                <w:lang w:eastAsia="ru-RU"/>
              </w:rPr>
            </w:pPr>
            <w:r w:rsidRPr="009E658A">
              <w:rPr>
                <w:rFonts w:ascii="Georgia" w:eastAsia="Times New Roman" w:hAnsi="Georgia" w:cs="Helvetica"/>
                <w:color w:val="604848"/>
                <w:sz w:val="29"/>
                <w:szCs w:val="29"/>
                <w:lang w:eastAsia="ru-RU"/>
              </w:rPr>
              <w:t>СЕЛЬКОГО ПОСЕЛЕНИЯ</w:t>
            </w:r>
          </w:p>
          <w:p w:rsidR="009E658A" w:rsidRPr="009E658A" w:rsidRDefault="009E658A" w:rsidP="009E658A">
            <w:pPr>
              <w:spacing w:after="0" w:line="336" w:lineRule="atLeast"/>
              <w:textAlignment w:val="top"/>
              <w:outlineLvl w:val="1"/>
              <w:rPr>
                <w:rFonts w:ascii="Georgia" w:eastAsia="Times New Roman" w:hAnsi="Georgia" w:cs="Helvetica"/>
                <w:color w:val="604848"/>
                <w:sz w:val="29"/>
                <w:szCs w:val="29"/>
                <w:lang w:eastAsia="ru-RU"/>
              </w:rPr>
            </w:pPr>
            <w:r w:rsidRPr="009E658A">
              <w:rPr>
                <w:rFonts w:ascii="Georgia" w:eastAsia="Times New Roman" w:hAnsi="Georgia" w:cs="Helvetica"/>
                <w:color w:val="604848"/>
                <w:sz w:val="29"/>
                <w:szCs w:val="29"/>
                <w:lang w:eastAsia="ru-RU"/>
              </w:rPr>
              <w:t>ПЕРЕВОЛОКИ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муниципального района </w:t>
            </w:r>
            <w:proofErr w:type="spellStart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Безенчукский</w:t>
            </w:r>
            <w:proofErr w:type="spellEnd"/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Самарской области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ПОСТАНОВЛЕНИЕ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от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u w:val="single"/>
                <w:lang w:eastAsia="ru-RU"/>
              </w:rPr>
              <w:t> «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u w:val="single"/>
                <w:lang w:eastAsia="ru-RU"/>
              </w:rPr>
              <w:t>11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u w:val="single"/>
                <w:lang w:eastAsia="ru-RU"/>
              </w:rPr>
              <w:t>» января 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u w:val="single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г. № 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1а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с. Переволоки</w:t>
            </w:r>
          </w:p>
        </w:tc>
        <w:tc>
          <w:tcPr>
            <w:tcW w:w="28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56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</w:tbl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Об утверждении </w:t>
      </w:r>
      <w:proofErr w:type="gram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муниципальной</w:t>
      </w:r>
      <w:proofErr w:type="gram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целевой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программы «Обеспечение пожарной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безопасности на территории </w:t>
      </w:r>
      <w:proofErr w:type="gram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</w:t>
      </w:r>
      <w:proofErr w:type="gramEnd"/>
    </w:p>
    <w:p w:rsidR="009E658A" w:rsidRPr="009E658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 на 2022</w:t>
      </w:r>
      <w:r w:rsidR="009E658A"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-202</w:t>
      </w:r>
      <w:r>
        <w:rPr>
          <w:rFonts w:eastAsia="Times New Roman" w:cs="Helvetica"/>
          <w:color w:val="857E6C"/>
          <w:sz w:val="19"/>
          <w:szCs w:val="19"/>
          <w:lang w:eastAsia="ru-RU"/>
        </w:rPr>
        <w:t>6</w:t>
      </w:r>
      <w:r w:rsidR="009E658A"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годы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gram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  Федеральным </w:t>
      </w:r>
      <w:hyperlink r:id="rId5" w:history="1">
        <w:r w:rsidRPr="009E658A">
          <w:rPr>
            <w:rFonts w:ascii="inherit" w:eastAsia="Times New Roman" w:hAnsi="inherit" w:cs="Helvetica"/>
            <w:color w:val="604848"/>
            <w:sz w:val="19"/>
            <w:szCs w:val="19"/>
            <w:bdr w:val="none" w:sz="0" w:space="0" w:color="auto" w:frame="1"/>
            <w:lang w:eastAsia="ru-RU"/>
          </w:rPr>
          <w:t>законом</w:t>
        </w:r>
      </w:hyperlink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от 21 декабря 1994 г. № 69-ФЗ «О пожарной безопасности», Федеральным </w:t>
      </w:r>
      <w:hyperlink r:id="rId6" w:history="1">
        <w:r w:rsidRPr="009E658A">
          <w:rPr>
            <w:rFonts w:ascii="inherit" w:eastAsia="Times New Roman" w:hAnsi="inherit" w:cs="Helvetica"/>
            <w:color w:val="604848"/>
            <w:sz w:val="19"/>
            <w:szCs w:val="19"/>
            <w:bdr w:val="none" w:sz="0" w:space="0" w:color="auto" w:frame="1"/>
            <w:lang w:eastAsia="ru-RU"/>
          </w:rPr>
          <w:t>законом</w:t>
        </w:r>
      </w:hyperlink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 от 6 октября 2003 г. № 131-ФЗ «Об общих принципах организации местного самоуправления в Российской Федерации», Федеральным законом от 22 июля 2008г. № 123-ФЗ «Технический регламент о требованиях пожарной безопасности», Уставом сельского поселения Переволоки муниципального района </w:t>
      </w:r>
      <w:proofErr w:type="spell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Безенчукский</w:t>
      </w:r>
      <w:proofErr w:type="spell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Самарской области</w:t>
      </w:r>
      <w:proofErr w:type="gramEnd"/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:rsidR="009E658A" w:rsidRPr="009E658A" w:rsidRDefault="009E658A" w:rsidP="009E658A">
      <w:pPr>
        <w:numPr>
          <w:ilvl w:val="0"/>
          <w:numId w:val="1"/>
        </w:numPr>
        <w:shd w:val="clear" w:color="auto" w:fill="ECECE5"/>
        <w:spacing w:after="0" w:line="240" w:lineRule="auto"/>
        <w:ind w:left="960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Утвердить муниципальную целевую программу  «Обеспечение пожарной безопасности на территории сельского  поселения Переволоки  на 20</w:t>
      </w:r>
      <w:r w:rsidR="0038306A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22</w:t>
      </w:r>
      <w:r w:rsidRPr="009E658A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-202</w:t>
      </w:r>
      <w:r w:rsidR="0038306A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6</w:t>
      </w:r>
      <w:r w:rsidRPr="009E658A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годы», согласно приложению.</w:t>
      </w:r>
    </w:p>
    <w:p w:rsidR="009E658A" w:rsidRPr="009E658A" w:rsidRDefault="009E658A" w:rsidP="009E658A">
      <w:pPr>
        <w:numPr>
          <w:ilvl w:val="0"/>
          <w:numId w:val="1"/>
        </w:numPr>
        <w:shd w:val="clear" w:color="auto" w:fill="ECECE5"/>
        <w:spacing w:after="0" w:line="240" w:lineRule="auto"/>
        <w:ind w:left="960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Опубликовать настоящее постановление в газете «Вестник сельского поселения Переволоки» и разместить на официальном сайте Администрации сельского поселения в сети Интернет.</w:t>
      </w:r>
    </w:p>
    <w:p w:rsidR="009E658A" w:rsidRPr="009E658A" w:rsidRDefault="009E658A" w:rsidP="009E658A">
      <w:pPr>
        <w:numPr>
          <w:ilvl w:val="0"/>
          <w:numId w:val="1"/>
        </w:numPr>
        <w:shd w:val="clear" w:color="auto" w:fill="ECECE5"/>
        <w:spacing w:after="0" w:line="240" w:lineRule="auto"/>
        <w:ind w:left="960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proofErr w:type="gramStart"/>
      <w:r w:rsidRPr="009E658A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Контроль за</w:t>
      </w:r>
      <w:proofErr w:type="gramEnd"/>
      <w:r w:rsidRPr="009E658A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выполнением настоящего Постановления оставляю за собой.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Глава сельского поселения Переволоки                                            С.А. </w:t>
      </w:r>
      <w:proofErr w:type="spell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Елуферьев</w:t>
      </w:r>
      <w:proofErr w:type="spellEnd"/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ПРИЛОЖЕНИЕ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постановлению Администрации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от 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11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января 20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22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г.   №  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1а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МУНИЦИПАЛЬНАЯ ЦЕЛЕВАЯ ПРОГРАММА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«Обеспечение пожарной безопасности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на территории  сельского  поселения Переволоки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на 20</w:t>
      </w:r>
      <w:r w:rsidR="0038306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22</w:t>
      </w: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-202</w:t>
      </w:r>
      <w:r w:rsidR="0038306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6</w:t>
      </w: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 xml:space="preserve"> годы»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с. Переволоки , 20</w:t>
      </w:r>
      <w:r w:rsidR="0038306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22</w:t>
      </w: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 xml:space="preserve"> год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Паспорт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муниципальной программы  «Обеспечение пожарной безопасности на территории сельского  поселения Переволоки  на 20</w:t>
      </w:r>
      <w:r w:rsidR="0038306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22</w:t>
      </w: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-202</w:t>
      </w:r>
      <w:r w:rsidR="0038306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6</w:t>
      </w: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 xml:space="preserve"> годы»</w:t>
      </w:r>
    </w:p>
    <w:tbl>
      <w:tblPr>
        <w:tblW w:w="1027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/>
      </w:tblPr>
      <w:tblGrid>
        <w:gridCol w:w="3603"/>
        <w:gridCol w:w="6672"/>
      </w:tblGrid>
      <w:tr w:rsidR="009E658A" w:rsidRPr="009E658A" w:rsidTr="009E658A">
        <w:trPr>
          <w:tblCellSpacing w:w="0" w:type="dxa"/>
        </w:trPr>
        <w:tc>
          <w:tcPr>
            <w:tcW w:w="324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Наименование Программы</w:t>
            </w:r>
          </w:p>
        </w:tc>
        <w:tc>
          <w:tcPr>
            <w:tcW w:w="6000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«Обеспечение пожарной безопасности на территории сельского поселения  Переволоки на 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 годы»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324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Основание для разработки Программы</w:t>
            </w:r>
          </w:p>
        </w:tc>
        <w:tc>
          <w:tcPr>
            <w:tcW w:w="600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324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Основной разработчик Программы</w:t>
            </w:r>
          </w:p>
        </w:tc>
        <w:tc>
          <w:tcPr>
            <w:tcW w:w="600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324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Цели и задачи Программы</w:t>
            </w:r>
          </w:p>
        </w:tc>
        <w:tc>
          <w:tcPr>
            <w:tcW w:w="600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  от пожаров в границах сельского поселения Переволоки.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324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Сроки реализации Программы</w:t>
            </w:r>
          </w:p>
        </w:tc>
        <w:tc>
          <w:tcPr>
            <w:tcW w:w="6000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 01.01.20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 г по 31.12.202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324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00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дств пр</w:t>
            </w:r>
            <w:proofErr w:type="gramEnd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отивопожарной защиты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324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Исполнитель Программы</w:t>
            </w:r>
          </w:p>
        </w:tc>
        <w:tc>
          <w:tcPr>
            <w:tcW w:w="600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324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00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Финансирование мероприятий осуществляется за счет средств бюджета сельского поселения Переволоки. Мероприятия Программы и объемы их финансирования подлежат ежегодной корректировке: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 г. – 30000,00 руб.;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23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 г. – 40000,00 руб.;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24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г. – 50000,00 руб.;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г. -    59000,00 руб.;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- 202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г. –   59000,00руб.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324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0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- укрепление пожарной безопасности территории сельского поселения Переволоки, снижение количества пожаров, гибели и </w:t>
            </w:r>
            <w:proofErr w:type="spellStart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травмирования</w:t>
            </w:r>
            <w:proofErr w:type="spellEnd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324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Организация контроля</w:t>
            </w:r>
          </w:p>
        </w:tc>
        <w:tc>
          <w:tcPr>
            <w:tcW w:w="6000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proofErr w:type="gramStart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 исполнением Программы осуществляет глава сельского поселения Переволоки.</w:t>
            </w:r>
          </w:p>
        </w:tc>
      </w:tr>
    </w:tbl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P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numPr>
          <w:ilvl w:val="0"/>
          <w:numId w:val="2"/>
        </w:numPr>
        <w:shd w:val="clear" w:color="auto" w:fill="ECECE5"/>
        <w:spacing w:after="0" w:line="240" w:lineRule="auto"/>
        <w:ind w:left="960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lastRenderedPageBreak/>
        <w:t>Общее положение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 Муниципальная целевая программа «Обеспечение пожарной безопасности на территории сельского поселения Переволоки на 20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22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-202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6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годы» (далее - Программа) определяет направления, и механизмы реализации полномочий по обеспечению первичных мер пожарной безопасности на территории сельского поселения Переволоки, усиления противопожарной защиты населения и материальных ценностей.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Федеральным </w:t>
      </w:r>
      <w:hyperlink r:id="rId7" w:history="1">
        <w:r w:rsidRPr="009E658A">
          <w:rPr>
            <w:rFonts w:ascii="inherit" w:eastAsia="Times New Roman" w:hAnsi="inherit" w:cs="Helvetica"/>
            <w:color w:val="604848"/>
            <w:sz w:val="19"/>
            <w:szCs w:val="19"/>
            <w:bdr w:val="none" w:sz="0" w:space="0" w:color="auto" w:frame="1"/>
            <w:lang w:eastAsia="ru-RU"/>
          </w:rPr>
          <w:t>законом</w:t>
        </w:r>
      </w:hyperlink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от 6 октября 2003 г. № 131-ФЗ «Об общих принципах организации местного самоуправления в Российской Федерации»;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Федеральным </w:t>
      </w:r>
      <w:hyperlink r:id="rId8" w:history="1">
        <w:r w:rsidRPr="009E658A">
          <w:rPr>
            <w:rFonts w:ascii="inherit" w:eastAsia="Times New Roman" w:hAnsi="inherit" w:cs="Helvetica"/>
            <w:color w:val="604848"/>
            <w:sz w:val="19"/>
            <w:szCs w:val="19"/>
            <w:bdr w:val="none" w:sz="0" w:space="0" w:color="auto" w:frame="1"/>
            <w:lang w:eastAsia="ru-RU"/>
          </w:rPr>
          <w:t>законом</w:t>
        </w:r>
      </w:hyperlink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от 21 декабря 1994 г. № 69-ФЗ «О пожарной безопасности»;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2. Содержание проблемы и обоснование необходимости ее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решения программными методами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Переволоки  ведется определенная работа по предупреждению пожаров: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проводятся совещания с  руководителями объектов и ответственными за пожарную безопасность по вопросам обеспечения пожарной безопасности;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4) разработку плана привлечения сил и сре</w:t>
      </w:r>
      <w:proofErr w:type="gram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дств  дл</w:t>
      </w:r>
      <w:proofErr w:type="gram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6) обеспечение беспрепятственного проезда пожарной техники к месту пожара;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7)  обеспечение связи и оповещения населения о пожаре;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9) создание условий для организации 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Целевой программный подход позволит решить задачи по обеспечению пожарной безопасности, снизить количество пожаров,  материальный ущерб от пожаров.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numPr>
          <w:ilvl w:val="0"/>
          <w:numId w:val="3"/>
        </w:numPr>
        <w:shd w:val="clear" w:color="auto" w:fill="ECECE5"/>
        <w:spacing w:after="0" w:line="240" w:lineRule="auto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Основные цели и задачи реализации Программы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3.1. Основной целью Программы является усиление системы противопожарной защиты сельского поселения Переволоки, создание необходимых условий для укрепления пожарной безопасности,  уменьшение материального ущерба от пожаров.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3.2. Для ее достижения необходимо решение следующих основных задач: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3.2.3. Реализация первоочередных мер по противопожарной защите жилья,  учреждений, объектов образования, здравоохранения, культуры, иных объектов массового нахождения людей;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3.3.Период действия Программы – 5 лет (20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22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-202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6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гг.).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3.4. Предусмотренные в Программе мероприятия (Приложение) имеют характер первичных мер пожарной безопасности и ставят своей целью решение  проблем укрепления противопожарной защиты территории сельского поселения Переволоки за счет целевого выделения бюджетных средств, при освоении которых, будут созданы необходимые условия  изменений в деле укрепления пожарной безопасности, защиты жизни и здоровья граждан от пожаров.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4. Ресурсное обеспечение Программы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4.1. Программа реализуется за счет средств сельского поселения Переволоки.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4.2. Объем средств может ежегодно уточняться в установленном порядке.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5. Организация управления Программой и </w:t>
      </w:r>
      <w:proofErr w:type="gram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контроль за</w:t>
      </w:r>
      <w:proofErr w:type="gram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ходом ее реализации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5.1. Администрация сельского поселения Переволоки 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5.2. Общий </w:t>
      </w:r>
      <w:proofErr w:type="gram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контроль за</w:t>
      </w:r>
      <w:proofErr w:type="gram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реализацией Программы и контроль текущих мероприятий Программы осуществляет глава  сельского поселения Переволоки.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6. Оценка эффективности последствий реализации Программы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Оценка эффективности реализации Муниципальной программы будет осуществляться в соответствии с методикой оценки по итогам её исполнения за отчетный финансовый год и в целом после завершения реализации Муниципальной программы.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Оценка эффективности реализации муниципальной программы будет проводиться путем сравнения фактически достигнутых в результате </w:t>
      </w:r>
      <w:proofErr w:type="gram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реализации муниципальной программы целевых показателей эффективности реализации муниципальной программы</w:t>
      </w:r>
      <w:proofErr w:type="gram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с запланированными.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Оценка </w:t>
      </w:r>
      <w:proofErr w:type="gram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 по следующим формулам: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для показателей, желаемой тенденцией развития которых является рост значений: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spell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</w:t>
      </w:r>
      <w:proofErr w:type="gramStart"/>
      <w:r w:rsidRPr="009E658A">
        <w:rPr>
          <w:rFonts w:ascii="inherit" w:eastAsia="Times New Roman" w:hAnsi="inherit" w:cs="Helvetica"/>
          <w:color w:val="857E6C"/>
          <w:sz w:val="19"/>
          <w:szCs w:val="19"/>
          <w:vertAlign w:val="subscript"/>
          <w:lang w:eastAsia="ru-RU"/>
        </w:rPr>
        <w:t>i</w:t>
      </w:r>
      <w:proofErr w:type="spellEnd"/>
      <w:proofErr w:type="gram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 = </w:t>
      </w:r>
      <w:proofErr w:type="spell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</w:t>
      </w:r>
      <w:r w:rsidRPr="009E658A">
        <w:rPr>
          <w:rFonts w:ascii="inherit" w:eastAsia="Times New Roman" w:hAnsi="inherit" w:cs="Helvetica"/>
          <w:color w:val="857E6C"/>
          <w:sz w:val="19"/>
          <w:szCs w:val="19"/>
          <w:vertAlign w:val="subscript"/>
          <w:lang w:eastAsia="ru-RU"/>
        </w:rPr>
        <w:t>фi</w:t>
      </w:r>
      <w:proofErr w:type="spell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/</w:t>
      </w:r>
      <w:proofErr w:type="spell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</w:t>
      </w:r>
      <w:r w:rsidRPr="009E658A">
        <w:rPr>
          <w:rFonts w:ascii="inherit" w:eastAsia="Times New Roman" w:hAnsi="inherit" w:cs="Helvetica"/>
          <w:color w:val="857E6C"/>
          <w:sz w:val="19"/>
          <w:szCs w:val="19"/>
          <w:vertAlign w:val="subscript"/>
          <w:lang w:eastAsia="ru-RU"/>
        </w:rPr>
        <w:t>плi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х</w:t>
      </w:r>
      <w:proofErr w:type="spell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100%; где: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spell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</w:t>
      </w:r>
      <w:r w:rsidRPr="009E658A">
        <w:rPr>
          <w:rFonts w:ascii="inherit" w:eastAsia="Times New Roman" w:hAnsi="inherit" w:cs="Helvetica"/>
          <w:color w:val="857E6C"/>
          <w:sz w:val="19"/>
          <w:szCs w:val="19"/>
          <w:vertAlign w:val="subscript"/>
          <w:lang w:eastAsia="ru-RU"/>
        </w:rPr>
        <w:t>i</w:t>
      </w:r>
      <w:proofErr w:type="spell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– степень достижения i-го показателя эффективности реализации муниципальной программы</w:t>
      </w:r>
      <w:proofErr w:type="gram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(%);</w:t>
      </w:r>
      <w:proofErr w:type="gramEnd"/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spell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</w:t>
      </w:r>
      <w:r w:rsidRPr="009E658A">
        <w:rPr>
          <w:rFonts w:ascii="inherit" w:eastAsia="Times New Roman" w:hAnsi="inherit" w:cs="Helvetica"/>
          <w:color w:val="857E6C"/>
          <w:sz w:val="19"/>
          <w:szCs w:val="19"/>
          <w:vertAlign w:val="subscript"/>
          <w:lang w:eastAsia="ru-RU"/>
        </w:rPr>
        <w:t>ф</w:t>
      </w:r>
      <w:proofErr w:type="gramStart"/>
      <w:r w:rsidRPr="009E658A">
        <w:rPr>
          <w:rFonts w:ascii="inherit" w:eastAsia="Times New Roman" w:hAnsi="inherit" w:cs="Helvetica"/>
          <w:color w:val="857E6C"/>
          <w:sz w:val="19"/>
          <w:szCs w:val="19"/>
          <w:vertAlign w:val="subscript"/>
          <w:lang w:eastAsia="ru-RU"/>
        </w:rPr>
        <w:t>i</w:t>
      </w:r>
      <w:proofErr w:type="spellEnd"/>
      <w:proofErr w:type="gram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– фактическое значение i-го показателя эффективности реализации муниципальной программы (соответствующих единиц измерения);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spell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</w:t>
      </w:r>
      <w:r w:rsidRPr="009E658A">
        <w:rPr>
          <w:rFonts w:ascii="inherit" w:eastAsia="Times New Roman" w:hAnsi="inherit" w:cs="Helvetica"/>
          <w:color w:val="857E6C"/>
          <w:sz w:val="19"/>
          <w:szCs w:val="19"/>
          <w:vertAlign w:val="subscript"/>
          <w:lang w:eastAsia="ru-RU"/>
        </w:rPr>
        <w:t>пл</w:t>
      </w:r>
      <w:proofErr w:type="gramStart"/>
      <w:r w:rsidRPr="009E658A">
        <w:rPr>
          <w:rFonts w:ascii="inherit" w:eastAsia="Times New Roman" w:hAnsi="inherit" w:cs="Helvetica"/>
          <w:color w:val="857E6C"/>
          <w:sz w:val="19"/>
          <w:szCs w:val="19"/>
          <w:vertAlign w:val="subscript"/>
          <w:lang w:eastAsia="ru-RU"/>
        </w:rPr>
        <w:t>i</w:t>
      </w:r>
      <w:proofErr w:type="spellEnd"/>
      <w:proofErr w:type="gram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– плановое значение i-го показателя эффективности реализации муниципальной программы (соответствующих единиц измерения).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Муниципальная программа по результатам </w:t>
      </w:r>
      <w:proofErr w:type="gram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оценки достижения целевых показателей эффективности реализации муниципальной программы</w:t>
      </w:r>
      <w:proofErr w:type="gram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считается реализуемой: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с высоким уровнем эффективности, если не менее 80% целевых показателей эффективности реализации муниципальной программы, запланированных на отчетный год, выполнены в полном объеме;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 удовлетворительным уровнем эффективности, если не менее 75% целевых показателей эффективности реализации муниципальной программы, запланированных на отчетный год, выполнены в полном объеме;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 неудовлетворительным уровнем эффективности, если не менее 65% целевых показателей эффективности реализации муниципальной программы, запланированных на отчетный год, выполнены в полном объеме.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 xml:space="preserve">7. </w:t>
      </w:r>
      <w:proofErr w:type="gramStart"/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Контроль за</w:t>
      </w:r>
      <w:proofErr w:type="gramEnd"/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 xml:space="preserve"> исполнением Программы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7.</w:t>
      </w:r>
      <w:proofErr w:type="gram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Контроль за</w:t>
      </w:r>
      <w:proofErr w:type="gram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исполнением Программы осуществляет Администрация сельского поселения Переволоки в соответствии с полномочиями, установленными федеральным и областным законодательством, нормативными правовыми актами сельского поселения Переволоки.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38306A" w:rsidRDefault="0038306A" w:rsidP="009E658A">
      <w:pPr>
        <w:shd w:val="clear" w:color="auto" w:fill="ECECE5"/>
        <w:spacing w:before="30" w:after="30" w:line="240" w:lineRule="auto"/>
        <w:textAlignment w:val="top"/>
        <w:rPr>
          <w:rFonts w:eastAsia="Times New Roman" w:cs="Helvetica"/>
          <w:color w:val="857E6C"/>
          <w:sz w:val="19"/>
          <w:szCs w:val="19"/>
          <w:lang w:eastAsia="ru-RU"/>
        </w:rPr>
      </w:pP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:rsidR="009E658A" w:rsidRPr="009E658A" w:rsidRDefault="009E658A" w:rsidP="009E658A">
      <w:pPr>
        <w:shd w:val="clear" w:color="auto" w:fill="ECECE5"/>
        <w:spacing w:after="0" w:line="288" w:lineRule="atLeast"/>
        <w:textAlignment w:val="top"/>
        <w:outlineLvl w:val="0"/>
        <w:rPr>
          <w:rFonts w:ascii="Georgia" w:eastAsia="Times New Roman" w:hAnsi="Georgia" w:cs="Times New Roman"/>
          <w:color w:val="604848"/>
          <w:kern w:val="36"/>
          <w:sz w:val="35"/>
          <w:szCs w:val="35"/>
          <w:lang w:eastAsia="ru-RU"/>
        </w:rPr>
      </w:pPr>
      <w:r w:rsidRPr="009E658A">
        <w:rPr>
          <w:rFonts w:ascii="inherit" w:eastAsia="Times New Roman" w:hAnsi="inherit" w:cs="Times New Roman"/>
          <w:color w:val="604848"/>
          <w:kern w:val="36"/>
          <w:sz w:val="28"/>
          <w:szCs w:val="28"/>
          <w:lang w:eastAsia="ru-RU"/>
        </w:rPr>
        <w:lastRenderedPageBreak/>
        <w:t>ПРИЛОЖЕНИЕ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муниципальной целевой программе "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Обеспечение  пожарной  безопасности  на территории сельского  поселения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Переволоки  на  20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22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-202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6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г.»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ПЕРЕЧЕНЬ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мероприятий муниципальной целевой  Программы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«Обеспечение пожарной безопасности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 территории сельс</w:t>
      </w:r>
      <w:r w:rsidR="0038306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кого поселения Переволоки на 20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22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-202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6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годы»</w:t>
      </w:r>
    </w:p>
    <w:p w:rsidR="009E658A" w:rsidRPr="009E658A" w:rsidRDefault="009E658A" w:rsidP="009E658A">
      <w:pPr>
        <w:shd w:val="clear" w:color="auto" w:fill="ECECE5"/>
        <w:spacing w:before="30" w:after="3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tbl>
      <w:tblPr>
        <w:tblW w:w="1027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/>
      </w:tblPr>
      <w:tblGrid>
        <w:gridCol w:w="698"/>
        <w:gridCol w:w="3519"/>
        <w:gridCol w:w="1318"/>
        <w:gridCol w:w="728"/>
        <w:gridCol w:w="883"/>
        <w:gridCol w:w="728"/>
        <w:gridCol w:w="883"/>
        <w:gridCol w:w="728"/>
        <w:gridCol w:w="790"/>
      </w:tblGrid>
      <w:tr w:rsidR="009E658A" w:rsidRPr="009E658A" w:rsidTr="009E658A">
        <w:trPr>
          <w:tblCellSpacing w:w="0" w:type="dxa"/>
        </w:trPr>
        <w:tc>
          <w:tcPr>
            <w:tcW w:w="675" w:type="dxa"/>
            <w:vMerge w:val="restart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/</w:t>
            </w:r>
            <w:proofErr w:type="spellStart"/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Содержание мероприятий</w:t>
            </w:r>
          </w:p>
        </w:tc>
        <w:tc>
          <w:tcPr>
            <w:tcW w:w="1275" w:type="dxa"/>
            <w:vMerge w:val="restart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Сроки исполнения</w:t>
            </w:r>
          </w:p>
        </w:tc>
        <w:tc>
          <w:tcPr>
            <w:tcW w:w="4590" w:type="dxa"/>
            <w:gridSpan w:val="6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Финансирование (тыс</w:t>
            </w:r>
            <w:proofErr w:type="gramStart"/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.р</w:t>
            </w:r>
            <w:proofErr w:type="gramEnd"/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уб.)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0" w:type="auto"/>
            <w:vMerge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202</w:t>
            </w:r>
            <w:r w:rsidR="0038306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202</w:t>
            </w:r>
            <w:r w:rsidR="0038306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всего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Информационное сопровождение, противопожарная пропаганда и обучение населения сельского поселения Переволоки мерам пожарной безопасности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Оборудование естественных и искусственных </w:t>
            </w:r>
            <w:proofErr w:type="spellStart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водоисточников</w:t>
            </w:r>
            <w:proofErr w:type="spellEnd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 (реки, пруды) площадками с твердым покрытием, а также подъездных путей к ним для установки пожарных автомобилей и забора воды в любое время года: с. Переволоки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Проверка и перезарядка огнетушителей в муниципальных учреждениях сельского поселения Переволоки (Администрация сельского поселения Переволоки, библиотека, сельские клубы)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25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Изготовление печатной продукции (памятки, листовки и т. п.) с основными требованиями норм пожарной безопасности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10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Оказание поддержки в обеспечении добровольных пожарных дружин первичными средствами пожаротушения, специальной и боевой одеждой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10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Расчистка дорог, проездов и подъездов в зимнее время года к источникам наружного водоснабжения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60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Организация опашки населенных пунктов: с. Переволоки, п. Дружба, п</w:t>
            </w:r>
            <w:proofErr w:type="gramStart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.З</w:t>
            </w:r>
            <w:proofErr w:type="gramEnd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аволжский, д. </w:t>
            </w:r>
            <w:proofErr w:type="spellStart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Красноселки</w:t>
            </w:r>
            <w:proofErr w:type="spellEnd"/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15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Изготовление и установка указателей к источникам пожарного водоснабжения. Изготовление пикетов.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10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Контроль технического состояния пожарных гидрантов и пожарных водоемов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 раза в год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Выполнение противопожарных мероприятий на объектах с массовым пребыванием людей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8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Обеспечение связи и оповещения населения о пожаре противопожарными сигнальными устройствами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Выполнение мер по ликвидации на придомовых территориях мусора, 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несанкционированных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водоснабжения.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45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15.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Освещение вопросов противопожарной пропаганды в средствах массовой информации (вестник сельского поселения Переволоки, официальный сайт сельского поселения Переволоки)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11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Проведение инструктажей, профилактических бесед и мероприятий в организациях, учреждениях и жилом секторе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Приобретение и установка пожарных гидрантов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50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67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34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Приобретение и установка водоразборных колонок</w:t>
            </w:r>
          </w:p>
        </w:tc>
        <w:tc>
          <w:tcPr>
            <w:tcW w:w="1275" w:type="dxa"/>
            <w:shd w:val="clear" w:color="auto" w:fill="ECECE5"/>
            <w:hideMark/>
          </w:tcPr>
          <w:p w:rsidR="009E658A" w:rsidRPr="009E658A" w:rsidRDefault="009E658A" w:rsidP="0038306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22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-202</w:t>
            </w:r>
            <w:r w:rsidR="0038306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</w:t>
            </w: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гг.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10</w:t>
            </w:r>
          </w:p>
        </w:tc>
      </w:tr>
      <w:tr w:rsidR="009E658A" w:rsidRPr="009E658A" w:rsidTr="009E658A">
        <w:trPr>
          <w:tblCellSpacing w:w="0" w:type="dxa"/>
        </w:trPr>
        <w:tc>
          <w:tcPr>
            <w:tcW w:w="5355" w:type="dxa"/>
            <w:gridSpan w:val="3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85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70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765" w:type="dxa"/>
            <w:shd w:val="clear" w:color="auto" w:fill="ECECE5"/>
            <w:hideMark/>
          </w:tcPr>
          <w:p w:rsidR="009E658A" w:rsidRPr="009E658A" w:rsidRDefault="009E658A" w:rsidP="009E658A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9E658A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256</w:t>
            </w:r>
          </w:p>
        </w:tc>
      </w:tr>
    </w:tbl>
    <w:p w:rsidR="009E658A" w:rsidRPr="009E658A" w:rsidRDefault="009E658A" w:rsidP="009E658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9E658A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Примечание.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Суммы  рассчитаны с применением к 20</w:t>
      </w:r>
      <w:r w:rsidR="0038306A">
        <w:rPr>
          <w:rFonts w:eastAsia="Times New Roman" w:cs="Helvetica"/>
          <w:color w:val="857E6C"/>
          <w:sz w:val="19"/>
          <w:szCs w:val="19"/>
          <w:lang w:eastAsia="ru-RU"/>
        </w:rPr>
        <w:t>21</w:t>
      </w:r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г. и могут быть скорректированы в соответствии с </w:t>
      </w:r>
      <w:proofErr w:type="spellStart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коэф</w:t>
      </w:r>
      <w:proofErr w:type="spellEnd"/>
      <w:r w:rsidRPr="009E658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. инфляции по соответствующему году реализации «Программы».</w:t>
      </w:r>
    </w:p>
    <w:p w:rsidR="00740EC6" w:rsidRDefault="00740EC6"/>
    <w:sectPr w:rsidR="00740EC6" w:rsidSect="0033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FC4"/>
    <w:multiLevelType w:val="multilevel"/>
    <w:tmpl w:val="56AC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E45FC"/>
    <w:multiLevelType w:val="multilevel"/>
    <w:tmpl w:val="209C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A18F6"/>
    <w:multiLevelType w:val="multilevel"/>
    <w:tmpl w:val="A00C5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EC6"/>
    <w:rsid w:val="003374D1"/>
    <w:rsid w:val="0038306A"/>
    <w:rsid w:val="00740EC6"/>
    <w:rsid w:val="009E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1"/>
  </w:style>
  <w:style w:type="paragraph" w:styleId="1">
    <w:name w:val="heading 1"/>
    <w:basedOn w:val="a"/>
    <w:link w:val="10"/>
    <w:uiPriority w:val="9"/>
    <w:qFormat/>
    <w:rsid w:val="009E6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6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58A"/>
    <w:rPr>
      <w:b/>
      <w:bCs/>
    </w:rPr>
  </w:style>
  <w:style w:type="character" w:styleId="a5">
    <w:name w:val="Hyperlink"/>
    <w:basedOn w:val="a0"/>
    <w:uiPriority w:val="99"/>
    <w:semiHidden/>
    <w:unhideWhenUsed/>
    <w:rsid w:val="009E6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hyperlink" Target="consultantplus://offline/main?base=LAW;n=108907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2485</Words>
  <Characters>14170</Characters>
  <Application>Microsoft Office Word</Application>
  <DocSecurity>0</DocSecurity>
  <Lines>118</Lines>
  <Paragraphs>33</Paragraphs>
  <ScaleCrop>false</ScaleCrop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user</cp:lastModifiedBy>
  <cp:revision>4</cp:revision>
  <dcterms:created xsi:type="dcterms:W3CDTF">2020-10-17T18:12:00Z</dcterms:created>
  <dcterms:modified xsi:type="dcterms:W3CDTF">2022-06-29T12:58:00Z</dcterms:modified>
</cp:coreProperties>
</file>